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C62893" w14:textId="77777777" w:rsidR="002067FB" w:rsidRPr="00EC4945" w:rsidRDefault="008B4844" w:rsidP="00EC4945">
      <w:pPr>
        <w:pStyle w:val="berschrift1"/>
        <w:rPr>
          <w:rFonts w:cs="Arial"/>
        </w:rPr>
      </w:pPr>
      <w:r>
        <w:t>Folha de solução</w:t>
      </w:r>
    </w:p>
    <w:p w14:paraId="0BC62894" w14:textId="77777777" w:rsidR="00EC4945" w:rsidRPr="003E4449" w:rsidRDefault="00EC4945" w:rsidP="00EC4945">
      <w:pPr>
        <w:pStyle w:val="berschrift1"/>
        <w:rPr>
          <w:rFonts w:cs="Arial"/>
        </w:rPr>
      </w:pPr>
      <w:r>
        <w:t>Caixa de câmbio Tarefa 4 – caixas de câmbio de transmissão (II)</w:t>
      </w:r>
    </w:p>
    <w:p w14:paraId="0BC62895" w14:textId="77777777"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Algumas das tarefas experimentais têm soluções diferentes, cada uma das quais com vantagens e desvantagens. Os alunos devem avaliar estas soluções de forma comparativa. O cálculo das relações de transmissão do acionamento e da saída é uma boa e útil aplicação prática do cálculo fracionário.</w:t>
      </w:r>
    </w:p>
    <w:p w14:paraId="0BC62896" w14:textId="77777777" w:rsidR="00EF3363" w:rsidRPr="003E4449" w:rsidRDefault="00EF3363" w:rsidP="00EF3363">
      <w:pPr>
        <w:pStyle w:val="berschrift2"/>
        <w:rPr>
          <w:rFonts w:cs="Arial"/>
        </w:rPr>
      </w:pPr>
      <w:r>
        <w:t>Tarefa de construção</w:t>
      </w:r>
    </w:p>
    <w:p w14:paraId="0BC62897" w14:textId="77777777" w:rsidR="00EF3363" w:rsidRPr="003E4449" w:rsidRDefault="00EF3363" w:rsidP="007F13A7">
      <w:pPr>
        <w:rPr>
          <w:rFonts w:ascii="Arial" w:hAnsi="Arial" w:cs="Arial"/>
        </w:rPr>
      </w:pPr>
      <w:r>
        <w:rPr>
          <w:rFonts w:ascii="Arial" w:hAnsi="Arial"/>
        </w:rPr>
        <w:t>A tarefa de construção pode ser resolvida através da transmissão de um Z10 para um Z20, mas também de um Z20 para um Z40 (simplesmente trocar o eixo de acionamento e de saída reposicionando a manivela).</w:t>
      </w:r>
    </w:p>
    <w:p w14:paraId="0BC62898" w14:textId="3B612EF8" w:rsidR="00EF3363" w:rsidRPr="003E4449" w:rsidRDefault="00DA373C" w:rsidP="00EF3363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A53B3DE" wp14:editId="60AC9413">
            <wp:extent cx="5760085" cy="401447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62899" w14:textId="77777777" w:rsidR="00EF3363" w:rsidRPr="003E4449" w:rsidRDefault="00EF3363" w:rsidP="00EF3363">
      <w:pPr>
        <w:rPr>
          <w:rFonts w:ascii="Arial" w:hAnsi="Arial" w:cs="Arial"/>
        </w:rPr>
      </w:pPr>
      <w:r>
        <w:rPr>
          <w:rFonts w:ascii="Arial" w:hAnsi="Arial"/>
        </w:rPr>
        <w:t>Por exemplo, a extensão da caixa de câmbio da tarefa 3 pode se parecer com isto:</w:t>
      </w:r>
    </w:p>
    <w:p w14:paraId="0BC6289A" w14:textId="38548871" w:rsidR="00115EF8" w:rsidRDefault="00F529A1" w:rsidP="00EF3363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E0325F4" wp14:editId="19C6C82A">
            <wp:extent cx="5760085" cy="462788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6289B" w14:textId="77777777" w:rsidR="007F13A7" w:rsidRPr="003E4449" w:rsidRDefault="007F13A7" w:rsidP="007F13A7">
      <w:pPr>
        <w:rPr>
          <w:rFonts w:ascii="Arial" w:hAnsi="Arial" w:cs="Arial"/>
        </w:rPr>
      </w:pPr>
      <w:r>
        <w:rPr>
          <w:rFonts w:ascii="Arial" w:hAnsi="Arial"/>
        </w:rPr>
        <w:t>Uma caixa de câmbio de corrente também pode ser usada para este fim.</w:t>
      </w:r>
    </w:p>
    <w:p w14:paraId="0BC6289C" w14:textId="77777777" w:rsidR="00115EF8" w:rsidRPr="003E4449" w:rsidRDefault="007F13A7" w:rsidP="00EF3363">
      <w:pPr>
        <w:rPr>
          <w:rFonts w:ascii="Arial" w:hAnsi="Arial" w:cs="Arial"/>
        </w:rPr>
      </w:pPr>
      <w:r>
        <w:rPr>
          <w:rFonts w:ascii="Arial" w:hAnsi="Arial"/>
        </w:rPr>
        <w:t>A relação de transmissão de toda a caixa de câmbio é obtida multiplicando cada relação de transmissão adicional pela já existente. A transmissão é então calculada a partir dos dentes das engrenagens da seguinte forma: 40:10 x 30:10 = 4:1 x 3:1 = 12:1.</w:t>
      </w:r>
    </w:p>
    <w:p w14:paraId="0BC6289D" w14:textId="77777777" w:rsidR="00EF3363" w:rsidRPr="003E4449" w:rsidRDefault="00EF3363" w:rsidP="00EF3363">
      <w:pPr>
        <w:pStyle w:val="berschrift2"/>
        <w:rPr>
          <w:rFonts w:cs="Arial"/>
        </w:rPr>
      </w:pPr>
      <w:r>
        <w:t>Tarefa experimental</w:t>
      </w:r>
    </w:p>
    <w:p w14:paraId="0BC6289E" w14:textId="77777777" w:rsidR="00EF3363" w:rsidRPr="003E4449" w:rsidRDefault="00115EF8" w:rsidP="007F13A7">
      <w:pPr>
        <w:rPr>
          <w:rFonts w:ascii="Arial" w:hAnsi="Arial" w:cs="Arial"/>
        </w:rPr>
      </w:pPr>
      <w:r>
        <w:rPr>
          <w:rFonts w:ascii="Arial" w:hAnsi="Arial"/>
        </w:rPr>
        <w:t>1. A construção da caixa de câmbio 12:1 pode ser ampliada por outras transmissões (por exemplo, outra transmissão 20:10). Também aqui pode ser acrescentada uma caixa de câmbio de correntes ou correias.</w:t>
      </w:r>
    </w:p>
    <w:p w14:paraId="0BC6289F" w14:textId="77777777" w:rsidR="00115EF8" w:rsidRPr="003E4449" w:rsidRDefault="00115EF8" w:rsidP="007F13A7">
      <w:pPr>
        <w:rPr>
          <w:rFonts w:ascii="Arial" w:hAnsi="Arial" w:cs="Arial"/>
        </w:rPr>
      </w:pPr>
      <w:r>
        <w:rPr>
          <w:rFonts w:ascii="Arial" w:hAnsi="Arial"/>
        </w:rPr>
        <w:t>2. Com uma relação de transmissão adicional de 2:1, o eixo de saída gira 24 vezes mais rápido que o eixo de acionamento.</w:t>
      </w:r>
    </w:p>
    <w:sectPr w:rsidR="00115EF8" w:rsidRPr="003E4449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C628A6" w14:textId="77777777" w:rsidR="00D4460D" w:rsidRDefault="00D4460D">
      <w:r>
        <w:separator/>
      </w:r>
    </w:p>
  </w:endnote>
  <w:endnote w:type="continuationSeparator" w:id="0">
    <w:p w14:paraId="0BC628A7" w14:textId="77777777" w:rsidR="00D4460D" w:rsidRDefault="00D44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C628AA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C628AB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685FA9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C628A4" w14:textId="77777777" w:rsidR="00D4460D" w:rsidRDefault="00D4460D">
      <w:r>
        <w:separator/>
      </w:r>
    </w:p>
  </w:footnote>
  <w:footnote w:type="continuationSeparator" w:id="0">
    <w:p w14:paraId="0BC628A5" w14:textId="77777777" w:rsidR="00D4460D" w:rsidRDefault="00D44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C628A8" w14:textId="77777777"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0BC628AC" wp14:editId="0BC628AD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C628A9" w14:textId="77777777" w:rsidR="00937B5D" w:rsidRDefault="00EF323F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BC628AE" wp14:editId="0BC628A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de câmbio - Conjunto de classes Nível primário </w:t>
    </w:r>
    <w:r>
      <w:tab/>
    </w:r>
    <w:r>
      <w:tab/>
    </w:r>
    <w:r>
      <w:rPr>
        <w:noProof/>
        <w:lang w:val="de-DE"/>
      </w:rPr>
      <w:drawing>
        <wp:inline distT="0" distB="0" distL="0" distR="0" wp14:anchorId="0BC628B0" wp14:editId="0BC628B1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85FA9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13A7"/>
    <w:rsid w:val="007F2B52"/>
    <w:rsid w:val="00805C2F"/>
    <w:rsid w:val="00817D41"/>
    <w:rsid w:val="00820994"/>
    <w:rsid w:val="008231F0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7700B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028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460D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373C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C4945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29A1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  <w:rsid w:val="00FD2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0BC62893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C23C4B-820D-46E9-885F-A495F1600865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228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1344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4</cp:revision>
  <cp:lastPrinted>2020-09-13T13:44:00Z</cp:lastPrinted>
  <dcterms:created xsi:type="dcterms:W3CDTF">2021-02-24T21:27:00Z</dcterms:created>
  <dcterms:modified xsi:type="dcterms:W3CDTF">2021-03-01T10:46:00Z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